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8D" w:rsidRPr="005A2C64" w:rsidRDefault="005B1026" w:rsidP="005A2C64">
      <w:pPr>
        <w:rPr>
          <w:rFonts w:ascii="Calibri" w:hAnsi="Calibri"/>
          <w:b/>
          <w:color w:val="666699"/>
          <w:sz w:val="28"/>
        </w:rPr>
      </w:pPr>
      <w:r>
        <w:rPr>
          <w:rFonts w:ascii="Calibri" w:hAnsi="Calibri"/>
          <w:noProof/>
          <w:sz w:val="22"/>
          <w:szCs w:val="22"/>
          <w:lang w:val="en-ZA" w:eastAsia="en-ZA"/>
        </w:rPr>
        <w:drawing>
          <wp:inline distT="0" distB="0" distL="0" distR="0">
            <wp:extent cx="1381125" cy="800100"/>
            <wp:effectExtent l="0" t="0" r="9525" b="0"/>
            <wp:docPr id="2" name="Picture 4" descr="C:\Users\fatimal\AppData\Local\Microsoft\Windows\Temporary Internet Files\Content.Word\J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timal\AppData\Local\Microsoft\Windows\Temporary Internet Files\Content.Word\JSE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98D" w:rsidRPr="00573EBF">
        <w:rPr>
          <w:rFonts w:ascii="Calibri" w:hAnsi="Calibri"/>
          <w:color w:val="FFFFFF"/>
          <w:sz w:val="16"/>
          <w:szCs w:val="16"/>
        </w:rPr>
        <w:t>20140623 SRI Changes Due to FTSE/JSE June Review</w:t>
      </w:r>
    </w:p>
    <w:p w:rsidR="00B858AE" w:rsidRDefault="00B858AE" w:rsidP="00B858AE">
      <w:pPr>
        <w:pStyle w:val="ltpageheader"/>
        <w:jc w:val="center"/>
        <w:rPr>
          <w:rFonts w:ascii="Calibri" w:hAnsi="Calibri"/>
          <w:b/>
          <w:bCs/>
        </w:rPr>
      </w:pPr>
      <w:r w:rsidRPr="00E7622E">
        <w:rPr>
          <w:rFonts w:ascii="Calibri" w:hAnsi="Calibri"/>
          <w:b/>
          <w:bCs/>
        </w:rPr>
        <w:t>JSE Socially Responsible Investment (SRI) Index</w:t>
      </w:r>
      <w:r w:rsidR="005A2C64">
        <w:rPr>
          <w:rFonts w:ascii="Calibri" w:hAnsi="Calibri"/>
          <w:b/>
          <w:bCs/>
        </w:rPr>
        <w:t xml:space="preserve"> </w:t>
      </w:r>
      <w:r w:rsidR="005A2C64" w:rsidRPr="005A2C64">
        <w:rPr>
          <w:rFonts w:ascii="Calibri" w:hAnsi="Calibri"/>
          <w:b/>
          <w:bCs/>
          <w:color w:val="FF0000"/>
        </w:rPr>
        <w:t>- Updated</w:t>
      </w:r>
    </w:p>
    <w:p w:rsidR="005A2C64" w:rsidRPr="00E7622E" w:rsidRDefault="005A2C64" w:rsidP="00B858AE">
      <w:pPr>
        <w:pStyle w:val="ltpageheader"/>
        <w:jc w:val="center"/>
        <w:rPr>
          <w:rFonts w:ascii="Calibri" w:hAnsi="Calibri"/>
          <w:b/>
          <w:bCs/>
        </w:rPr>
      </w:pPr>
      <w:r w:rsidRPr="007D5A80">
        <w:rPr>
          <w:color w:val="FF0000"/>
          <w:sz w:val="20"/>
        </w:rPr>
        <w:t xml:space="preserve">PLEASE NOTE: This ICA replaces the ICA published on the </w:t>
      </w:r>
      <w:r>
        <w:rPr>
          <w:color w:val="FF0000"/>
          <w:sz w:val="20"/>
        </w:rPr>
        <w:t>3</w:t>
      </w:r>
      <w:r w:rsidRPr="007D5A80">
        <w:rPr>
          <w:color w:val="FF0000"/>
          <w:sz w:val="20"/>
          <w:vertAlign w:val="superscript"/>
        </w:rPr>
        <w:t>th</w:t>
      </w:r>
      <w:r w:rsidRPr="007D5A80">
        <w:rPr>
          <w:color w:val="FF0000"/>
          <w:sz w:val="20"/>
        </w:rPr>
        <w:t xml:space="preserve"> of December </w:t>
      </w:r>
      <w:r>
        <w:rPr>
          <w:color w:val="FF0000"/>
          <w:sz w:val="20"/>
        </w:rPr>
        <w:t>2014</w:t>
      </w:r>
    </w:p>
    <w:p w:rsidR="005D3303" w:rsidRPr="00E7622E" w:rsidRDefault="00E74EF5" w:rsidP="005D3303">
      <w:pPr>
        <w:pStyle w:val="ltpageheader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4</w:t>
      </w:r>
      <w:r w:rsidR="007D1482">
        <w:rPr>
          <w:rFonts w:ascii="Calibri" w:hAnsi="Calibri"/>
        </w:rPr>
        <w:t xml:space="preserve"> </w:t>
      </w:r>
      <w:r w:rsidR="00074DB4">
        <w:rPr>
          <w:rFonts w:ascii="Calibri" w:hAnsi="Calibri"/>
        </w:rPr>
        <w:t>December</w:t>
      </w:r>
      <w:r w:rsidR="007A79ED" w:rsidRPr="00E7622E">
        <w:rPr>
          <w:rFonts w:ascii="Calibri" w:hAnsi="Calibri"/>
        </w:rPr>
        <w:t xml:space="preserve"> 201</w:t>
      </w:r>
      <w:r w:rsidR="006643EF" w:rsidRPr="00E7622E">
        <w:rPr>
          <w:rFonts w:ascii="Calibri" w:hAnsi="Calibri"/>
        </w:rPr>
        <w:t>4</w:t>
      </w:r>
    </w:p>
    <w:p w:rsidR="00DF0511" w:rsidRPr="00DF0511" w:rsidRDefault="00E26F95" w:rsidP="005D3303">
      <w:pPr>
        <w:pStyle w:val="ltpageheader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/>
          <w:szCs w:val="20"/>
        </w:rPr>
        <w:pict>
          <v:rect id="_x0000_i1025" style="width:0;height:1.5pt" o:hralign="center" o:hrstd="t" o:hr="t" fillcolor="#aca899" stroked="f"/>
        </w:pict>
      </w:r>
      <w:r w:rsidR="00074DB4">
        <w:rPr>
          <w:rFonts w:ascii="Verdana" w:hAnsi="Verdana"/>
          <w:sz w:val="20"/>
          <w:szCs w:val="20"/>
        </w:rPr>
        <w:t>Following the annual</w:t>
      </w:r>
      <w:r w:rsidR="00074DB4" w:rsidRPr="005D3303">
        <w:rPr>
          <w:rFonts w:ascii="Verdana" w:hAnsi="Verdana"/>
          <w:sz w:val="20"/>
          <w:szCs w:val="20"/>
        </w:rPr>
        <w:t xml:space="preserve"> review of the </w:t>
      </w:r>
      <w:r w:rsidR="00074DB4">
        <w:rPr>
          <w:rFonts w:ascii="Verdana" w:hAnsi="Verdana"/>
          <w:sz w:val="20"/>
          <w:szCs w:val="20"/>
        </w:rPr>
        <w:t xml:space="preserve">JSE SRI Index, together with the annual review of the </w:t>
      </w:r>
      <w:r w:rsidR="00074DB4" w:rsidRPr="005D3303">
        <w:rPr>
          <w:rFonts w:ascii="Verdana" w:hAnsi="Verdana"/>
          <w:sz w:val="20"/>
          <w:szCs w:val="20"/>
        </w:rPr>
        <w:t>FTSE/JSE All Share index, the JSE announces the following change</w:t>
      </w:r>
      <w:r w:rsidR="00074DB4">
        <w:rPr>
          <w:rFonts w:ascii="Verdana" w:hAnsi="Verdana"/>
          <w:sz w:val="20"/>
          <w:szCs w:val="20"/>
        </w:rPr>
        <w:t>s</w:t>
      </w:r>
      <w:r w:rsidR="00074DB4" w:rsidRPr="005D3303">
        <w:rPr>
          <w:rFonts w:ascii="Verdana" w:hAnsi="Verdana"/>
          <w:sz w:val="20"/>
          <w:szCs w:val="20"/>
        </w:rPr>
        <w:t xml:space="preserve"> to the JSE Socially Responsible Investment</w:t>
      </w:r>
      <w:r w:rsidR="00074DB4">
        <w:rPr>
          <w:rFonts w:ascii="Verdana" w:hAnsi="Verdana"/>
          <w:sz w:val="20"/>
          <w:szCs w:val="20"/>
        </w:rPr>
        <w:t xml:space="preserve"> </w:t>
      </w:r>
      <w:r w:rsidR="00074DB4" w:rsidRPr="005D3303">
        <w:rPr>
          <w:rFonts w:ascii="Verdana" w:hAnsi="Verdana"/>
          <w:sz w:val="20"/>
          <w:szCs w:val="20"/>
        </w:rPr>
        <w:t>(SRI)</w:t>
      </w:r>
      <w:r w:rsidR="00074DB4">
        <w:rPr>
          <w:rFonts w:ascii="Verdana" w:hAnsi="Verdana"/>
          <w:sz w:val="20"/>
          <w:szCs w:val="20"/>
        </w:rPr>
        <w:t xml:space="preserve"> </w:t>
      </w:r>
      <w:r w:rsidR="00074DB4" w:rsidRPr="005D3303">
        <w:rPr>
          <w:rFonts w:ascii="Verdana" w:hAnsi="Verdana"/>
          <w:sz w:val="20"/>
          <w:szCs w:val="20"/>
        </w:rPr>
        <w:t>Index</w:t>
      </w:r>
      <w:r w:rsidR="00074DB4">
        <w:rPr>
          <w:rFonts w:ascii="Verdana" w:hAnsi="Verdana"/>
          <w:sz w:val="20"/>
          <w:szCs w:val="20"/>
        </w:rPr>
        <w:t xml:space="preserve">. </w:t>
      </w:r>
      <w:r w:rsidR="00074DB4" w:rsidRPr="005D3303">
        <w:rPr>
          <w:rFonts w:ascii="Verdana" w:hAnsi="Verdana"/>
          <w:sz w:val="20"/>
          <w:szCs w:val="20"/>
        </w:rPr>
        <w:t xml:space="preserve"> All constituent, free float and shares in issue changes will be applied after</w:t>
      </w:r>
      <w:r w:rsidR="00074DB4">
        <w:rPr>
          <w:rFonts w:ascii="Verdana" w:hAnsi="Verdana"/>
          <w:sz w:val="20"/>
          <w:szCs w:val="20"/>
        </w:rPr>
        <w:t xml:space="preserve"> the close of business on Friday, 19</w:t>
      </w:r>
      <w:r w:rsidR="00074DB4" w:rsidRPr="005D3303">
        <w:rPr>
          <w:rFonts w:ascii="Verdana" w:hAnsi="Verdana"/>
          <w:sz w:val="20"/>
          <w:szCs w:val="20"/>
        </w:rPr>
        <w:t xml:space="preserve"> </w:t>
      </w:r>
      <w:r w:rsidR="00074DB4">
        <w:rPr>
          <w:rFonts w:ascii="Verdana" w:hAnsi="Verdana"/>
          <w:sz w:val="20"/>
          <w:szCs w:val="20"/>
        </w:rPr>
        <w:t xml:space="preserve">December </w:t>
      </w:r>
      <w:r w:rsidR="00074DB4" w:rsidRPr="005D3303">
        <w:rPr>
          <w:rFonts w:ascii="Verdana" w:hAnsi="Verdana"/>
          <w:sz w:val="20"/>
          <w:szCs w:val="20"/>
        </w:rPr>
        <w:t>201</w:t>
      </w:r>
      <w:r w:rsidR="00074DB4">
        <w:rPr>
          <w:rFonts w:ascii="Verdana" w:hAnsi="Verdana"/>
          <w:sz w:val="20"/>
          <w:szCs w:val="20"/>
        </w:rPr>
        <w:t>4</w:t>
      </w:r>
      <w:r w:rsidR="00074DB4" w:rsidRPr="005D3303">
        <w:rPr>
          <w:rFonts w:ascii="Verdana" w:hAnsi="Verdana"/>
          <w:sz w:val="20"/>
          <w:szCs w:val="20"/>
        </w:rPr>
        <w:t xml:space="preserve"> and</w:t>
      </w:r>
      <w:r w:rsidR="00074DB4">
        <w:rPr>
          <w:rFonts w:ascii="Verdana" w:hAnsi="Verdana"/>
          <w:sz w:val="20"/>
          <w:szCs w:val="20"/>
        </w:rPr>
        <w:t xml:space="preserve"> will be effective on Monday, 22 December 2</w:t>
      </w:r>
      <w:r w:rsidR="00074DB4" w:rsidRPr="005D3303">
        <w:rPr>
          <w:rFonts w:ascii="Verdana" w:hAnsi="Verdana"/>
          <w:sz w:val="20"/>
          <w:szCs w:val="20"/>
        </w:rPr>
        <w:t>01</w:t>
      </w:r>
      <w:r w:rsidR="00074DB4">
        <w:rPr>
          <w:rFonts w:ascii="Verdana" w:hAnsi="Verdana"/>
          <w:sz w:val="20"/>
          <w:szCs w:val="20"/>
        </w:rPr>
        <w:t>4.</w:t>
      </w:r>
    </w:p>
    <w:p w:rsidR="009549C9" w:rsidRPr="00074DB4" w:rsidRDefault="009549C9" w:rsidP="009549C9">
      <w:pPr>
        <w:pStyle w:val="ICAHeading2"/>
      </w:pPr>
      <w:r w:rsidRPr="00074DB4">
        <w:t>Classification Changes (J100 &amp; J101)</w:t>
      </w:r>
    </w:p>
    <w:p w:rsidR="00074DB4" w:rsidRDefault="00074DB4" w:rsidP="009549C9">
      <w:pPr>
        <w:pStyle w:val="ICAParagraphText"/>
      </w:pPr>
    </w:p>
    <w:p w:rsidR="00074DB4" w:rsidRDefault="009549C9" w:rsidP="009549C9">
      <w:pPr>
        <w:pStyle w:val="ICAParagraphText"/>
      </w:pPr>
      <w:r>
        <w:t>NO CHANGES IN CLASSIFICATION</w:t>
      </w:r>
    </w:p>
    <w:p w:rsidR="008B3D35" w:rsidRPr="002C3E67" w:rsidRDefault="00F732CC" w:rsidP="002C3E67">
      <w:pPr>
        <w:pStyle w:val="ICAHeading2"/>
      </w:pPr>
      <w:r w:rsidRPr="00074DB4">
        <w:t>Free Float Changes</w:t>
      </w:r>
      <w:r w:rsidR="00F27694" w:rsidRPr="00074DB4">
        <w:t xml:space="preserve"> (</w:t>
      </w:r>
      <w:r w:rsidR="00903817" w:rsidRPr="00074DB4">
        <w:t>J100</w:t>
      </w:r>
      <w:r w:rsidR="00F27694" w:rsidRPr="00074DB4">
        <w:t>)</w:t>
      </w:r>
    </w:p>
    <w:tbl>
      <w:tblPr>
        <w:tblW w:w="6745" w:type="dxa"/>
        <w:jc w:val="center"/>
        <w:tblInd w:w="93" w:type="dxa"/>
        <w:tblLook w:val="04A0" w:firstRow="1" w:lastRow="0" w:firstColumn="1" w:lastColumn="0" w:noHBand="0" w:noVBand="1"/>
      </w:tblPr>
      <w:tblGrid>
        <w:gridCol w:w="792"/>
        <w:gridCol w:w="2410"/>
        <w:gridCol w:w="1701"/>
        <w:gridCol w:w="850"/>
        <w:gridCol w:w="992"/>
      </w:tblGrid>
      <w:tr w:rsidR="00D22D36" w:rsidRPr="00D22D36" w:rsidTr="00692837">
        <w:trPr>
          <w:trHeight w:val="169"/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Old FF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New FF</w:t>
            </w:r>
          </w:p>
        </w:tc>
      </w:tr>
      <w:tr w:rsidR="00D22D36" w:rsidRPr="00D22D36" w:rsidTr="002C3E67">
        <w:trPr>
          <w:trHeight w:val="251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AEG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Aveng Group Limited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ZAE000111829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93</w:t>
            </w:r>
          </w:p>
        </w:tc>
      </w:tr>
      <w:tr w:rsidR="00D22D36" w:rsidRPr="00D22D36" w:rsidTr="002C3E67">
        <w:trPr>
          <w:trHeight w:val="227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FSR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D22D36">
              <w:rPr>
                <w:color w:val="666699"/>
                <w:sz w:val="18"/>
                <w:szCs w:val="18"/>
                <w:lang w:val="en-ZA" w:eastAsia="en-ZA"/>
              </w:rPr>
              <w:t>Firstrand</w:t>
            </w:r>
            <w:proofErr w:type="spellEnd"/>
            <w:r w:rsidRPr="00D22D36">
              <w:rPr>
                <w:color w:val="666699"/>
                <w:sz w:val="18"/>
                <w:szCs w:val="18"/>
                <w:lang w:val="en-ZA" w:eastAsia="en-ZA"/>
              </w:rPr>
              <w:t xml:space="preserve">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ZAE000066304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54</w:t>
            </w:r>
          </w:p>
        </w:tc>
      </w:tr>
      <w:tr w:rsidR="00D22D36" w:rsidRPr="00D22D36" w:rsidTr="002C3E67">
        <w:trPr>
          <w:trHeight w:val="173"/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KAP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 xml:space="preserve">KAP Industrial </w:t>
            </w:r>
            <w:proofErr w:type="spellStart"/>
            <w:r w:rsidRPr="00D22D36">
              <w:rPr>
                <w:color w:val="666699"/>
                <w:sz w:val="18"/>
                <w:szCs w:val="18"/>
                <w:lang w:val="en-ZA" w:eastAsia="en-ZA"/>
              </w:rPr>
              <w:t>Hldgs</w:t>
            </w:r>
            <w:proofErr w:type="spellEnd"/>
            <w:r w:rsidRPr="00D22D36">
              <w:rPr>
                <w:color w:val="666699"/>
                <w:sz w:val="18"/>
                <w:szCs w:val="18"/>
                <w:lang w:val="en-ZA" w:eastAsia="en-ZA"/>
              </w:rPr>
              <w:t xml:space="preserve"> Ltd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ZAE000171963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D36" w:rsidRPr="00D22D36" w:rsidRDefault="00D22D36" w:rsidP="00D22D36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D22D36">
              <w:rPr>
                <w:color w:val="666699"/>
                <w:sz w:val="18"/>
                <w:szCs w:val="18"/>
                <w:lang w:val="en-ZA" w:eastAsia="en-ZA"/>
              </w:rPr>
              <w:t>56</w:t>
            </w:r>
          </w:p>
        </w:tc>
      </w:tr>
    </w:tbl>
    <w:p w:rsidR="00074DB4" w:rsidRDefault="00074DB4" w:rsidP="00D22D36">
      <w:pPr>
        <w:pStyle w:val="ICAHeading2"/>
        <w:jc w:val="left"/>
        <w:rPr>
          <w:rFonts w:ascii="Calibri" w:hAnsi="Calibri"/>
          <w:color w:val="FF0000"/>
        </w:rPr>
      </w:pPr>
    </w:p>
    <w:p w:rsidR="00D22D36" w:rsidRPr="00074DB4" w:rsidRDefault="00F732CC" w:rsidP="002C3E67">
      <w:pPr>
        <w:pStyle w:val="ICAHeading2"/>
      </w:pPr>
      <w:r w:rsidRPr="00074DB4">
        <w:t>SWIX Portfolio Weight Changes</w:t>
      </w:r>
      <w:r w:rsidR="00F27694" w:rsidRPr="00074DB4">
        <w:t xml:space="preserve"> (</w:t>
      </w:r>
      <w:r w:rsidR="00903817" w:rsidRPr="00074DB4">
        <w:t>J101</w:t>
      </w:r>
      <w:r w:rsidR="00F27694" w:rsidRPr="00074DB4">
        <w:t>)</w:t>
      </w:r>
    </w:p>
    <w:tbl>
      <w:tblPr>
        <w:tblW w:w="6950" w:type="dxa"/>
        <w:jc w:val="center"/>
        <w:tblInd w:w="93" w:type="dxa"/>
        <w:tblLook w:val="04A0" w:firstRow="1" w:lastRow="0" w:firstColumn="1" w:lastColumn="0" w:noHBand="0" w:noVBand="1"/>
      </w:tblPr>
      <w:tblGrid>
        <w:gridCol w:w="980"/>
        <w:gridCol w:w="2223"/>
        <w:gridCol w:w="1785"/>
        <w:gridCol w:w="981"/>
        <w:gridCol w:w="981"/>
      </w:tblGrid>
      <w:tr w:rsidR="00692837" w:rsidRPr="00692837" w:rsidTr="00692837">
        <w:trPr>
          <w:trHeight w:val="268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Old Weight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New Weight</w:t>
            </w:r>
          </w:p>
        </w:tc>
      </w:tr>
      <w:tr w:rsidR="00692837" w:rsidRPr="00692837" w:rsidTr="00692837">
        <w:trPr>
          <w:trHeight w:val="26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AEG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Aveng Group Limited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ZAE000111829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93</w:t>
            </w:r>
          </w:p>
        </w:tc>
      </w:tr>
      <w:tr w:rsidR="00692837" w:rsidRPr="00692837" w:rsidTr="00692837">
        <w:trPr>
          <w:trHeight w:val="251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BIL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BHP Billiton plc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GB0000566504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18</w:t>
            </w:r>
          </w:p>
        </w:tc>
      </w:tr>
      <w:tr w:rsidR="00692837" w:rsidRPr="00692837" w:rsidTr="00692837">
        <w:trPr>
          <w:trHeight w:val="169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FSR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8"/>
                <w:szCs w:val="18"/>
                <w:lang w:val="en-ZA" w:eastAsia="en-ZA"/>
              </w:rPr>
              <w:t>Firstrand</w:t>
            </w:r>
            <w:proofErr w:type="spellEnd"/>
            <w:r w:rsidRPr="00692837">
              <w:rPr>
                <w:color w:val="666699"/>
                <w:sz w:val="18"/>
                <w:szCs w:val="18"/>
                <w:lang w:val="en-ZA" w:eastAsia="en-ZA"/>
              </w:rPr>
              <w:t xml:space="preserve"> Ltd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ZAE000066304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54</w:t>
            </w:r>
          </w:p>
        </w:tc>
      </w:tr>
      <w:tr w:rsidR="00692837" w:rsidRPr="00692837" w:rsidTr="00692837">
        <w:trPr>
          <w:trHeight w:val="169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GFI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Gold Fields Ltd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ZAE000018123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63</w:t>
            </w:r>
          </w:p>
        </w:tc>
      </w:tr>
      <w:tr w:rsidR="00692837" w:rsidRPr="00692837" w:rsidTr="00692837">
        <w:trPr>
          <w:trHeight w:val="263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INP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Investec plc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GB00B17BBQ50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46</w:t>
            </w:r>
          </w:p>
        </w:tc>
      </w:tr>
      <w:tr w:rsidR="00692837" w:rsidRPr="00692837" w:rsidTr="00692837">
        <w:trPr>
          <w:trHeight w:val="169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KAP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 xml:space="preserve">KAP Industrial </w:t>
            </w:r>
            <w:proofErr w:type="spellStart"/>
            <w:r w:rsidRPr="00692837">
              <w:rPr>
                <w:color w:val="666699"/>
                <w:sz w:val="18"/>
                <w:szCs w:val="18"/>
                <w:lang w:val="en-ZA" w:eastAsia="en-ZA"/>
              </w:rPr>
              <w:t>Hldgs</w:t>
            </w:r>
            <w:proofErr w:type="spellEnd"/>
            <w:r w:rsidRPr="00692837">
              <w:rPr>
                <w:color w:val="666699"/>
                <w:sz w:val="18"/>
                <w:szCs w:val="18"/>
                <w:lang w:val="en-ZA" w:eastAsia="en-ZA"/>
              </w:rPr>
              <w:t xml:space="preserve"> Ltd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ZAE000171963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56</w:t>
            </w:r>
          </w:p>
        </w:tc>
      </w:tr>
      <w:tr w:rsidR="00692837" w:rsidRPr="00692837" w:rsidTr="00692837">
        <w:trPr>
          <w:trHeight w:val="169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MNP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Mondi plc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GB00B1CRLC47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40</w:t>
            </w:r>
          </w:p>
        </w:tc>
      </w:tr>
      <w:tr w:rsidR="00692837" w:rsidRPr="00692837" w:rsidTr="00692837">
        <w:trPr>
          <w:trHeight w:val="169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SAB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SABMiller plc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GB0004835483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837" w:rsidRPr="00692837" w:rsidRDefault="00692837" w:rsidP="0069283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692837">
              <w:rPr>
                <w:color w:val="666699"/>
                <w:sz w:val="18"/>
                <w:szCs w:val="18"/>
                <w:lang w:val="en-ZA" w:eastAsia="en-ZA"/>
              </w:rPr>
              <w:t>17</w:t>
            </w:r>
          </w:p>
        </w:tc>
      </w:tr>
    </w:tbl>
    <w:p w:rsidR="00552F0A" w:rsidRDefault="00692837" w:rsidP="00692837">
      <w:pPr>
        <w:pStyle w:val="ICAParagraphText"/>
        <w:rPr>
          <w:i/>
          <w:sz w:val="16"/>
        </w:rPr>
      </w:pPr>
      <w:r>
        <w:rPr>
          <w:i/>
          <w:sz w:val="16"/>
        </w:rPr>
        <w:t xml:space="preserve">                              </w:t>
      </w:r>
      <w:r w:rsidR="00B6061B" w:rsidRPr="00CF060A">
        <w:rPr>
          <w:i/>
          <w:sz w:val="16"/>
        </w:rPr>
        <w:t>Where the Old Weight is blank, the SWIX Portfolio Weight is changing as a result of a Free Float change</w:t>
      </w:r>
    </w:p>
    <w:p w:rsidR="00692837" w:rsidRPr="00692837" w:rsidRDefault="00692837" w:rsidP="00692837">
      <w:pPr>
        <w:pStyle w:val="ICAParagraphText"/>
        <w:rPr>
          <w:i/>
          <w:sz w:val="16"/>
        </w:rPr>
      </w:pPr>
    </w:p>
    <w:p w:rsidR="00074DB4" w:rsidRPr="002C3E67" w:rsidRDefault="00F732CC" w:rsidP="002C3E67">
      <w:pPr>
        <w:pStyle w:val="ICAHeading2"/>
      </w:pPr>
      <w:r w:rsidRPr="00074DB4">
        <w:t>Shares in Issue Changes</w:t>
      </w:r>
      <w:r w:rsidR="00F27694" w:rsidRPr="00074DB4">
        <w:t xml:space="preserve"> (</w:t>
      </w:r>
      <w:r w:rsidR="00903817" w:rsidRPr="00074DB4">
        <w:t>J100 &amp; J101</w:t>
      </w:r>
      <w:r w:rsidR="00F27694" w:rsidRPr="00074DB4">
        <w:t>)</w:t>
      </w:r>
    </w:p>
    <w:tbl>
      <w:tblPr>
        <w:tblW w:w="8338" w:type="dxa"/>
        <w:jc w:val="center"/>
        <w:tblInd w:w="93" w:type="dxa"/>
        <w:tblLook w:val="04A0" w:firstRow="1" w:lastRow="0" w:firstColumn="1" w:lastColumn="0" w:noHBand="0" w:noVBand="1"/>
      </w:tblPr>
      <w:tblGrid>
        <w:gridCol w:w="1024"/>
        <w:gridCol w:w="2555"/>
        <w:gridCol w:w="1554"/>
        <w:gridCol w:w="1660"/>
        <w:gridCol w:w="1545"/>
      </w:tblGrid>
      <w:tr w:rsidR="002C3E67" w:rsidRPr="002C3E67" w:rsidTr="00692837">
        <w:trPr>
          <w:trHeight w:val="274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center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Old SII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i/>
                <w:iCs/>
                <w:color w:val="666699"/>
                <w:sz w:val="18"/>
                <w:szCs w:val="18"/>
                <w:lang w:val="en-ZA" w:eastAsia="en-ZA"/>
              </w:rPr>
              <w:t>New SII</w:t>
            </w:r>
          </w:p>
        </w:tc>
      </w:tr>
      <w:tr w:rsidR="002C3E67" w:rsidRPr="002C3E67" w:rsidTr="002C3E67">
        <w:trPr>
          <w:trHeight w:val="256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center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GRT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2C3E67">
              <w:rPr>
                <w:color w:val="666699"/>
                <w:sz w:val="18"/>
                <w:szCs w:val="18"/>
                <w:lang w:val="en-ZA" w:eastAsia="en-ZA"/>
              </w:rPr>
              <w:t>Growthpoint</w:t>
            </w:r>
            <w:proofErr w:type="spellEnd"/>
            <w:r w:rsidRPr="002C3E67">
              <w:rPr>
                <w:color w:val="666699"/>
                <w:sz w:val="18"/>
                <w:szCs w:val="18"/>
                <w:lang w:val="en-ZA" w:eastAsia="en-ZA"/>
              </w:rPr>
              <w:t xml:space="preserve"> Prop Ltd*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ZAE000179420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2,284,908,257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2,330,921,688</w:t>
            </w:r>
          </w:p>
        </w:tc>
      </w:tr>
      <w:tr w:rsidR="002C3E67" w:rsidRPr="002C3E67" w:rsidTr="002C3E67">
        <w:trPr>
          <w:trHeight w:val="261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center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MPC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Mr Price Group Ltd*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ZAE000026951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249,150,410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253,183,867</w:t>
            </w:r>
          </w:p>
        </w:tc>
      </w:tr>
      <w:tr w:rsidR="002C3E67" w:rsidRPr="002C3E67" w:rsidTr="002C3E67">
        <w:trPr>
          <w:trHeight w:val="27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center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RDF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Redefine Properties Ltd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ZAE000190252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3,410,507,125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3,660,552,052</w:t>
            </w:r>
          </w:p>
        </w:tc>
      </w:tr>
      <w:tr w:rsidR="002C3E67" w:rsidRPr="002C3E67" w:rsidTr="002C3E67">
        <w:trPr>
          <w:trHeight w:val="261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center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SHF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 xml:space="preserve">Steinhoff </w:t>
            </w:r>
            <w:proofErr w:type="spellStart"/>
            <w:r w:rsidRPr="002C3E67">
              <w:rPr>
                <w:color w:val="666699"/>
                <w:sz w:val="18"/>
                <w:szCs w:val="18"/>
                <w:lang w:val="en-ZA" w:eastAsia="en-ZA"/>
              </w:rPr>
              <w:t>Int</w:t>
            </w:r>
            <w:proofErr w:type="spellEnd"/>
            <w:r w:rsidRPr="002C3E67">
              <w:rPr>
                <w:color w:val="666699"/>
                <w:sz w:val="18"/>
                <w:szCs w:val="18"/>
                <w:lang w:val="en-ZA" w:eastAsia="en-ZA"/>
              </w:rPr>
              <w:t xml:space="preserve"> </w:t>
            </w:r>
            <w:proofErr w:type="spellStart"/>
            <w:r w:rsidRPr="002C3E67">
              <w:rPr>
                <w:color w:val="666699"/>
                <w:sz w:val="18"/>
                <w:szCs w:val="18"/>
                <w:lang w:val="en-ZA" w:eastAsia="en-ZA"/>
              </w:rPr>
              <w:t>Hldgs</w:t>
            </w:r>
            <w:proofErr w:type="spellEnd"/>
            <w:r w:rsidRPr="002C3E67">
              <w:rPr>
                <w:color w:val="666699"/>
                <w:sz w:val="18"/>
                <w:szCs w:val="18"/>
                <w:lang w:val="en-ZA" w:eastAsia="en-ZA"/>
              </w:rPr>
              <w:t xml:space="preserve"> Ltd*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ZAE000016176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2,477,273,868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2,508,656,716</w:t>
            </w:r>
          </w:p>
        </w:tc>
      </w:tr>
      <w:tr w:rsidR="002C3E67" w:rsidRPr="002C3E67" w:rsidTr="002C3E67">
        <w:trPr>
          <w:trHeight w:val="258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center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TFG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The Foschini Group Limited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ZAE000148466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222,005,054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211,005,054</w:t>
            </w:r>
          </w:p>
        </w:tc>
      </w:tr>
      <w:tr w:rsidR="002C3E67" w:rsidRPr="002C3E67" w:rsidTr="002C3E67">
        <w:trPr>
          <w:trHeight w:val="249"/>
          <w:jc w:val="center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center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WHL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Woolworths Holdings Ltd*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ZAE000063863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1,032,876,610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67" w:rsidRPr="002C3E67" w:rsidRDefault="002C3E67" w:rsidP="002C3E67">
            <w:pPr>
              <w:spacing w:line="240" w:lineRule="auto"/>
              <w:jc w:val="right"/>
              <w:rPr>
                <w:color w:val="666699"/>
                <w:sz w:val="18"/>
                <w:szCs w:val="18"/>
                <w:lang w:val="en-ZA" w:eastAsia="en-ZA"/>
              </w:rPr>
            </w:pPr>
            <w:r w:rsidRPr="002C3E67">
              <w:rPr>
                <w:color w:val="666699"/>
                <w:sz w:val="18"/>
                <w:szCs w:val="18"/>
                <w:lang w:val="en-ZA" w:eastAsia="en-ZA"/>
              </w:rPr>
              <w:t>1,014,804,975</w:t>
            </w:r>
          </w:p>
        </w:tc>
      </w:tr>
    </w:tbl>
    <w:p w:rsidR="00074DB4" w:rsidRDefault="00074DB4" w:rsidP="00883CEA">
      <w:pPr>
        <w:pStyle w:val="ICAHeading2"/>
        <w:rPr>
          <w:rFonts w:ascii="Calibri" w:hAnsi="Calibri"/>
        </w:rPr>
      </w:pPr>
      <w:r>
        <w:lastRenderedPageBreak/>
        <w:t>JSE SRI Index constituents (J100 &amp; J101) effective from 2</w:t>
      </w:r>
      <w:r w:rsidR="002C3E67">
        <w:t>2</w:t>
      </w:r>
      <w:r>
        <w:t xml:space="preserve"> December 201</w:t>
      </w:r>
      <w:r w:rsidR="002C3E67">
        <w:t>4</w:t>
      </w:r>
    </w:p>
    <w:tbl>
      <w:tblPr>
        <w:tblW w:w="8804" w:type="dxa"/>
        <w:jc w:val="center"/>
        <w:tblInd w:w="93" w:type="dxa"/>
        <w:tblLook w:val="04A0" w:firstRow="1" w:lastRow="0" w:firstColumn="1" w:lastColumn="0" w:noHBand="0" w:noVBand="1"/>
      </w:tblPr>
      <w:tblGrid>
        <w:gridCol w:w="688"/>
        <w:gridCol w:w="2500"/>
        <w:gridCol w:w="1435"/>
        <w:gridCol w:w="1901"/>
        <w:gridCol w:w="1288"/>
        <w:gridCol w:w="992"/>
      </w:tblGrid>
      <w:tr w:rsidR="00E74EF5" w:rsidRPr="00692837" w:rsidTr="00A60F1B">
        <w:trPr>
          <w:trHeight w:val="510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  <w:t>Ticker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  <w:t>Constituent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  <w:t>ISIN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  <w:t>SII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  <w:t>Free Float (J100)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b/>
                <w:bCs/>
                <w:i/>
                <w:iCs/>
                <w:color w:val="666699"/>
                <w:sz w:val="16"/>
                <w:szCs w:val="16"/>
                <w:lang w:val="en-ZA" w:eastAsia="en-ZA"/>
              </w:rPr>
              <w:t>SWIX FF (J101)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ACL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ArcelorMittal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South Africa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ZAE000134961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445,752,132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ADH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Advtech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ZAE000031035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420,880,090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88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AEG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Aveng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ZAE000111829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</w:t>
            </w: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416,670,931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93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Allied Electronics Corp 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ZAE000191342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105,669,131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Allied </w:t>
            </w: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Elec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Corp 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ZAE000191359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261,523,326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87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AFE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AECI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ZAE000000220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128,241,140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AFX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African Oxygen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ZAE000067120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342,853,084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AGL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Anglo American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GB00B1XZS820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1,405,454,933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AMS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Anglo American Platinum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ZAE000013181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269,681,886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22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Anglogold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Ashanti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ZAE000043485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402,300,534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53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APN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Aspen </w:t>
            </w: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Pharmacare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ZAE000066692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454,779,457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67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AQP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Aquarius Platinum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BMG0440M1284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1,464,310,359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44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ARI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African Rainbow Minerals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ZAE000054045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215,499,559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BAW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Barloworld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ZAE000026639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230,451,448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97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BCX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Business Connexion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ZAE000054631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404,972,468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89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Barclays Africa Group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ZAE000174124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>
              <w:rPr>
                <w:color w:val="666699"/>
                <w:sz w:val="16"/>
                <w:szCs w:val="16"/>
                <w:lang w:val="en-ZA" w:eastAsia="en-ZA"/>
              </w:rPr>
              <w:t xml:space="preserve">       </w:t>
            </w: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847,750,679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38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BIL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BHP Billiton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GB0000566504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2,136,185,454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18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BTI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British American Tobacco PLC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GB0002875804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2,025,962,385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BVT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Bidvest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ZAE000117321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337,907,445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CLS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Clicks Group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ZAE000134854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246,137,763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94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CVH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Capevin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Holdings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ZAE000167714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880,103,265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DSY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Discovery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ZAE000022331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587,682,650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EXX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Exxaro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Resources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ZAE000084992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357,890,335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FSR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Firstrand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Limited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ZAE000066304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5,613,566,954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54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GFI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Gold Fields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ZAE000018123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770,517,918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63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GND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Grindrod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ZAE000072328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762,053,314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61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GRF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Group Five/South Africa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ZAE000027405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111,689,872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87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Growthpoint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Prop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ZAE000179420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2,330,921,688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92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HAR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Harmony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ZAE000015228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435,254,334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66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HWN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Howden Africa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ZAE000010583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65,729,109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HYP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Hyprop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Investments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ZAE000190724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243,113,169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ILV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Illovo Sugar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ZAE000083846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456,279,222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IMP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Impala Platinum </w:t>
            </w: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Hlds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ZAE000083648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630,899,224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81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INL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Investec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ZAE000081949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282,934,529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Investec PLC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GB00B17BBQ50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613,751,486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IPL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Imperial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ZAE000067211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206,984,284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83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ITU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Intu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Properties Plc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GB0006834344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1,311,353,003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37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JSE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JSE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ZAE000079711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86,877,600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KAP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KAP Industrial Holdings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ZAE000171963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2,337,254,668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KIO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Kumba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Iron Ore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ZAE000085346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320,415,081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18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LBH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Liberty </w:t>
            </w: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Hldgs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ZAE000127148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285,987,276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LEW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Lewis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ZAE000058236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98,057,959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LHC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Life Healthcare Group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ZAE000145892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1,042,209,750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94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LON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Lonmin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PLC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GB0031192486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566,164,099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MDC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Mediclinic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International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ZAE000074142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867,957,325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MMI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MMI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ZAE000149902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1,570,132,231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65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MND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Mondi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ZAE000156550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118,310,298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MNP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Mondi Plc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GB00B1CRLC47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367,240,805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MPC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Mr Price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ZAE000026951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253,183,867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92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MPT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Mpact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ZAE000156501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164,046,476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MSM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Massmart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ZAE000152617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215,349,515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MTN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MTN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ZAE000042164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1,848,299,289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Murray &amp; Roberts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ZAE000073441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444,736,109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92</w:t>
            </w:r>
          </w:p>
        </w:tc>
      </w:tr>
      <w:tr w:rsidR="00E74EF5" w:rsidRPr="00692837" w:rsidTr="00E26F95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NED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Nedbank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ZAE000004875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499,257,807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39</w:t>
            </w:r>
          </w:p>
        </w:tc>
      </w:tr>
      <w:tr w:rsidR="00E74EF5" w:rsidRPr="00692837" w:rsidTr="00E26F95">
        <w:trPr>
          <w:trHeight w:val="222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lastRenderedPageBreak/>
              <w:t>NHM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Northam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Platinum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ZAE000030912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397,586,090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87</w:t>
            </w:r>
          </w:p>
        </w:tc>
      </w:tr>
      <w:tr w:rsidR="00E74EF5" w:rsidRPr="00692837" w:rsidTr="00E26F95">
        <w:trPr>
          <w:trHeight w:val="222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NPK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Nampak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ZAE000071676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700,643,220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85</w:t>
            </w:r>
          </w:p>
        </w:tc>
        <w:bookmarkStart w:id="0" w:name="_GoBack"/>
        <w:bookmarkEnd w:id="0"/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NTC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Netcare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ZAE000011953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1,473,617,509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OCE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Oceana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ZAE000025284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118,465,157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OML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Old Mutual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GB00B77J0862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4,866,722,383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53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PIK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Pick N Pay Stores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ZAE000005443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487,322,321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46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PPC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PPC Ltd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ZAE000170049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605,379,648 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RBP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Royal </w:t>
            </w: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Bafokeng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Platinum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ZAE000149936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191,918,221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30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RCL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RCL Foods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ZAE000179438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929,207,059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21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RDF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Redefine Properties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ZAE000190252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3,660,552,052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97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Remgro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ZAE000026480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481,106,370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RLO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Reunert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ZAE000057428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187,202,146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82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RMH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RMB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ZAE000024501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1,411,703,218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47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SAB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SABMiller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GB0004835483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1,663,459,943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17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SAP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Sappi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ZAE000006284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537,117,864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SBK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Standard Bank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ZAE000109815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1,605,388,653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SGL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Sibanye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Gold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ZAE000173951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898,185,853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78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SHF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Steinhoff International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ZAE000016176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2,508,656,716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SLM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Sanlam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ZAE000070660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2,166,471,806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81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Santam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ZAE000093779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118,605,307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29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SOL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Sasol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ZAE000006896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650,311,516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SPG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Super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ZAE000161832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315,334,081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93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SPP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The Spar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ZAE000058517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A60F1B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172,358,004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100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SUI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Sun International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ZAE000097580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114,129,455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81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TBS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Tiger Brands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ZAE000071080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191,887,268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78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TFG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The Foschini Group Ltd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ZAE000148466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A60F1B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211,005,054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85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TKG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Telkom SA SOC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ZAE000044897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525,228,322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59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Tongaat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</w:t>
            </w: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Hulett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ZAE000096541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135,072,006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81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TRU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proofErr w:type="spellStart"/>
            <w:r w:rsidRPr="00692837">
              <w:rPr>
                <w:color w:val="666699"/>
                <w:sz w:val="16"/>
                <w:szCs w:val="16"/>
                <w:lang w:val="en-ZA" w:eastAsia="en-ZA"/>
              </w:rPr>
              <w:t>Truworths</w:t>
            </w:r>
            <w:proofErr w:type="spellEnd"/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International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ZAE000028296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   421,168,723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99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VOD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Vodacom 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ZAE000132577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1,487,954,000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22</w:t>
            </w:r>
          </w:p>
        </w:tc>
      </w:tr>
      <w:tr w:rsidR="00E74EF5" w:rsidRPr="00692837" w:rsidTr="00A60F1B">
        <w:trPr>
          <w:trHeight w:val="222"/>
          <w:jc w:val="center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WHL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Woolworths Holdings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ZAE000063863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 xml:space="preserve">      1,014,804,975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EF5" w:rsidRPr="00692837" w:rsidRDefault="00E74EF5" w:rsidP="00692837">
            <w:pPr>
              <w:spacing w:line="240" w:lineRule="auto"/>
              <w:jc w:val="right"/>
              <w:rPr>
                <w:color w:val="666699"/>
                <w:sz w:val="16"/>
                <w:szCs w:val="16"/>
                <w:lang w:val="en-ZA" w:eastAsia="en-ZA"/>
              </w:rPr>
            </w:pPr>
            <w:r w:rsidRPr="00692837">
              <w:rPr>
                <w:color w:val="666699"/>
                <w:sz w:val="16"/>
                <w:szCs w:val="16"/>
                <w:lang w:val="en-ZA" w:eastAsia="en-ZA"/>
              </w:rPr>
              <w:t>87</w:t>
            </w:r>
          </w:p>
        </w:tc>
      </w:tr>
    </w:tbl>
    <w:p w:rsidR="00692837" w:rsidRDefault="00692837" w:rsidP="00B858AE">
      <w:pPr>
        <w:pStyle w:val="vsmlfont"/>
        <w:rPr>
          <w:rFonts w:ascii="Calibri" w:hAnsi="Calibri"/>
          <w:sz w:val="20"/>
          <w:szCs w:val="20"/>
        </w:rPr>
      </w:pPr>
    </w:p>
    <w:p w:rsidR="00B858AE" w:rsidRPr="00E7622E" w:rsidRDefault="00B858AE" w:rsidP="00B858AE">
      <w:pPr>
        <w:pStyle w:val="vsmlfont"/>
        <w:rPr>
          <w:rFonts w:ascii="Calibri" w:hAnsi="Calibri"/>
          <w:sz w:val="20"/>
          <w:szCs w:val="20"/>
        </w:rPr>
      </w:pPr>
      <w:r w:rsidRPr="00E7622E">
        <w:rPr>
          <w:rFonts w:ascii="Calibri" w:hAnsi="Calibri"/>
          <w:sz w:val="20"/>
          <w:szCs w:val="20"/>
        </w:rPr>
        <w:t>For index related enquiries or further information about SRI Indices please contact:</w:t>
      </w:r>
    </w:p>
    <w:tbl>
      <w:tblPr>
        <w:tblW w:w="5000" w:type="pct"/>
        <w:tblCellSpacing w:w="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24"/>
        <w:gridCol w:w="5122"/>
      </w:tblGrid>
      <w:tr w:rsidR="00B858AE" w:rsidRPr="00E7622E" w:rsidTr="005A5003">
        <w:trPr>
          <w:tblCellSpacing w:w="0" w:type="dxa"/>
        </w:trPr>
        <w:tc>
          <w:tcPr>
            <w:tcW w:w="0" w:type="auto"/>
            <w:hideMark/>
          </w:tcPr>
          <w:p w:rsidR="00B858AE" w:rsidRPr="00E7622E" w:rsidRDefault="00B858AE" w:rsidP="005A5003">
            <w:pPr>
              <w:rPr>
                <w:rFonts w:ascii="Calibri" w:hAnsi="Calibri"/>
                <w:color w:val="003366"/>
                <w:szCs w:val="20"/>
              </w:rPr>
            </w:pPr>
            <w:r w:rsidRPr="00E7622E">
              <w:rPr>
                <w:rFonts w:ascii="Calibri" w:hAnsi="Calibri"/>
                <w:color w:val="003366"/>
                <w:szCs w:val="20"/>
              </w:rPr>
              <w:t>Corli Le Roux</w:t>
            </w:r>
            <w:r w:rsidRPr="00E7622E">
              <w:rPr>
                <w:rFonts w:ascii="Calibri" w:hAnsi="Calibri"/>
                <w:color w:val="808080"/>
                <w:szCs w:val="20"/>
                <w:lang w:val="en-US"/>
              </w:rPr>
              <w:t xml:space="preserve"> </w:t>
            </w:r>
            <w:r w:rsidRPr="00E7622E">
              <w:rPr>
                <w:rFonts w:ascii="Calibri" w:hAnsi="Calibri"/>
                <w:color w:val="003366"/>
                <w:szCs w:val="20"/>
              </w:rPr>
              <w:t>or Makhiba Mollo:</w:t>
            </w:r>
          </w:p>
        </w:tc>
        <w:tc>
          <w:tcPr>
            <w:tcW w:w="0" w:type="auto"/>
            <w:hideMark/>
          </w:tcPr>
          <w:p w:rsidR="00B858AE" w:rsidRPr="00E7622E" w:rsidRDefault="00B858AE" w:rsidP="005A5003">
            <w:pPr>
              <w:rPr>
                <w:rFonts w:ascii="Calibri" w:hAnsi="Calibri"/>
                <w:color w:val="003366"/>
                <w:szCs w:val="20"/>
              </w:rPr>
            </w:pPr>
            <w:r w:rsidRPr="00E7622E">
              <w:rPr>
                <w:rFonts w:ascii="Calibri" w:hAnsi="Calibri"/>
                <w:color w:val="003366"/>
                <w:szCs w:val="20"/>
              </w:rPr>
              <w:t>Tel: (27 11) 520 7104 or +520 7022</w:t>
            </w:r>
          </w:p>
        </w:tc>
      </w:tr>
    </w:tbl>
    <w:p w:rsidR="00B858AE" w:rsidRPr="00E7622E" w:rsidRDefault="00B858AE" w:rsidP="00B858AE">
      <w:pPr>
        <w:pStyle w:val="vsmlfont"/>
        <w:rPr>
          <w:rFonts w:ascii="Calibri" w:hAnsi="Calibri"/>
          <w:color w:val="0000FF"/>
          <w:sz w:val="20"/>
          <w:szCs w:val="20"/>
          <w:u w:val="single"/>
        </w:rPr>
      </w:pPr>
      <w:r w:rsidRPr="00E7622E">
        <w:rPr>
          <w:rFonts w:ascii="Calibri" w:hAnsi="Calibri"/>
          <w:sz w:val="20"/>
          <w:szCs w:val="20"/>
        </w:rPr>
        <w:t xml:space="preserve">Alternatively please email your enquiries to </w:t>
      </w:r>
      <w:r w:rsidRPr="00E7622E">
        <w:rPr>
          <w:rFonts w:ascii="Calibri" w:hAnsi="Calibri"/>
          <w:color w:val="0000FF"/>
          <w:sz w:val="20"/>
          <w:szCs w:val="20"/>
          <w:u w:val="single"/>
        </w:rPr>
        <w:t>info@jse.co.za</w:t>
      </w:r>
      <w:r w:rsidRPr="00E7622E">
        <w:rPr>
          <w:rFonts w:ascii="Calibri" w:hAnsi="Calibri"/>
          <w:sz w:val="20"/>
          <w:szCs w:val="20"/>
        </w:rPr>
        <w:t xml:space="preserve"> or visit our website at </w:t>
      </w:r>
      <w:r w:rsidR="00DF0511" w:rsidRPr="00DF0511">
        <w:rPr>
          <w:rFonts w:ascii="Calibri" w:hAnsi="Calibri"/>
          <w:color w:val="0000FF"/>
          <w:sz w:val="20"/>
          <w:szCs w:val="20"/>
          <w:u w:val="single"/>
        </w:rPr>
        <w:t>https://www.jse.co.za/services/market-data/indices/socially-responsible-investment-index</w:t>
      </w:r>
    </w:p>
    <w:p w:rsidR="00965C45" w:rsidRPr="00E7622E" w:rsidRDefault="00E26F95" w:rsidP="00903817">
      <w:pPr>
        <w:pStyle w:val="ICAParagraphText"/>
        <w:jc w:val="center"/>
        <w:rPr>
          <w:rFonts w:ascii="Calibri" w:hAnsi="Calibri"/>
        </w:rPr>
      </w:pPr>
      <w:hyperlink r:id="rId7" w:history="1">
        <w:r w:rsidR="00B858AE" w:rsidRPr="00E7622E">
          <w:rPr>
            <w:rStyle w:val="search1"/>
            <w:rFonts w:ascii="Calibri" w:hAnsi="Calibri"/>
            <w:color w:val="666666"/>
          </w:rPr>
          <w:t>Terms of Use</w:t>
        </w:r>
      </w:hyperlink>
      <w:r w:rsidR="00B858AE" w:rsidRPr="00E7622E">
        <w:rPr>
          <w:rStyle w:val="search1"/>
          <w:rFonts w:ascii="Calibri" w:hAnsi="Calibri"/>
          <w:color w:val="666666"/>
        </w:rPr>
        <w:t xml:space="preserve"> | Copyright © JSE Ltd</w:t>
      </w:r>
    </w:p>
    <w:sectPr w:rsidR="00965C45" w:rsidRPr="00E7622E" w:rsidSect="005D3303">
      <w:pgSz w:w="11907" w:h="16840" w:code="9"/>
      <w:pgMar w:top="1077" w:right="1077" w:bottom="1701" w:left="1134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CC"/>
    <w:rsid w:val="00002343"/>
    <w:rsid w:val="00036470"/>
    <w:rsid w:val="00042B63"/>
    <w:rsid w:val="00051D42"/>
    <w:rsid w:val="000522DB"/>
    <w:rsid w:val="00074DB4"/>
    <w:rsid w:val="0009012B"/>
    <w:rsid w:val="00093C30"/>
    <w:rsid w:val="000A12B2"/>
    <w:rsid w:val="000B04FF"/>
    <w:rsid w:val="000B6DB7"/>
    <w:rsid w:val="000D0902"/>
    <w:rsid w:val="000E0F2A"/>
    <w:rsid w:val="0011104A"/>
    <w:rsid w:val="00163E53"/>
    <w:rsid w:val="00173E15"/>
    <w:rsid w:val="001C455B"/>
    <w:rsid w:val="001C4B8A"/>
    <w:rsid w:val="001C721B"/>
    <w:rsid w:val="001D7123"/>
    <w:rsid w:val="001E0D69"/>
    <w:rsid w:val="001F1D4C"/>
    <w:rsid w:val="00223156"/>
    <w:rsid w:val="00227158"/>
    <w:rsid w:val="00246A1B"/>
    <w:rsid w:val="002524C9"/>
    <w:rsid w:val="0027264E"/>
    <w:rsid w:val="002870C7"/>
    <w:rsid w:val="00294CC9"/>
    <w:rsid w:val="002A27CA"/>
    <w:rsid w:val="002C1645"/>
    <w:rsid w:val="002C3E67"/>
    <w:rsid w:val="002D1153"/>
    <w:rsid w:val="002D577E"/>
    <w:rsid w:val="002D7EED"/>
    <w:rsid w:val="002E78FE"/>
    <w:rsid w:val="00310D68"/>
    <w:rsid w:val="003353C8"/>
    <w:rsid w:val="003375F9"/>
    <w:rsid w:val="003543C4"/>
    <w:rsid w:val="00367038"/>
    <w:rsid w:val="0037485A"/>
    <w:rsid w:val="003B3A64"/>
    <w:rsid w:val="003B74DE"/>
    <w:rsid w:val="003C5119"/>
    <w:rsid w:val="003E3620"/>
    <w:rsid w:val="004010E9"/>
    <w:rsid w:val="00453B53"/>
    <w:rsid w:val="004875CE"/>
    <w:rsid w:val="004A0992"/>
    <w:rsid w:val="004C3894"/>
    <w:rsid w:val="004D706B"/>
    <w:rsid w:val="004E710C"/>
    <w:rsid w:val="00501B2C"/>
    <w:rsid w:val="005260B0"/>
    <w:rsid w:val="00526EC2"/>
    <w:rsid w:val="005308B9"/>
    <w:rsid w:val="005347E8"/>
    <w:rsid w:val="00552F0A"/>
    <w:rsid w:val="00573EBF"/>
    <w:rsid w:val="0057534A"/>
    <w:rsid w:val="00586E7F"/>
    <w:rsid w:val="005A2C64"/>
    <w:rsid w:val="005A5003"/>
    <w:rsid w:val="005A5C06"/>
    <w:rsid w:val="005B1026"/>
    <w:rsid w:val="005D3303"/>
    <w:rsid w:val="005F7A67"/>
    <w:rsid w:val="0062572C"/>
    <w:rsid w:val="006346D1"/>
    <w:rsid w:val="00654585"/>
    <w:rsid w:val="006643EF"/>
    <w:rsid w:val="006708B9"/>
    <w:rsid w:val="00692837"/>
    <w:rsid w:val="00694AFB"/>
    <w:rsid w:val="006B26E3"/>
    <w:rsid w:val="006C5E0A"/>
    <w:rsid w:val="00725716"/>
    <w:rsid w:val="00732F7D"/>
    <w:rsid w:val="00733FE8"/>
    <w:rsid w:val="00743956"/>
    <w:rsid w:val="0074735B"/>
    <w:rsid w:val="00756979"/>
    <w:rsid w:val="00794B3A"/>
    <w:rsid w:val="007A79ED"/>
    <w:rsid w:val="007C0A4C"/>
    <w:rsid w:val="007D1482"/>
    <w:rsid w:val="007F31C1"/>
    <w:rsid w:val="00820375"/>
    <w:rsid w:val="00837E2E"/>
    <w:rsid w:val="00856A7E"/>
    <w:rsid w:val="00862B58"/>
    <w:rsid w:val="008759E7"/>
    <w:rsid w:val="00883CEA"/>
    <w:rsid w:val="008A198B"/>
    <w:rsid w:val="008B3D35"/>
    <w:rsid w:val="008D07A4"/>
    <w:rsid w:val="008D121B"/>
    <w:rsid w:val="008D5C19"/>
    <w:rsid w:val="008E0AA2"/>
    <w:rsid w:val="008F6CB8"/>
    <w:rsid w:val="00903817"/>
    <w:rsid w:val="0091128C"/>
    <w:rsid w:val="00930941"/>
    <w:rsid w:val="00952F50"/>
    <w:rsid w:val="009549C9"/>
    <w:rsid w:val="00957BC2"/>
    <w:rsid w:val="00965C45"/>
    <w:rsid w:val="00984415"/>
    <w:rsid w:val="00986645"/>
    <w:rsid w:val="009B078A"/>
    <w:rsid w:val="009F6433"/>
    <w:rsid w:val="00A163B3"/>
    <w:rsid w:val="00A2745B"/>
    <w:rsid w:val="00A41108"/>
    <w:rsid w:val="00A42CC6"/>
    <w:rsid w:val="00A57169"/>
    <w:rsid w:val="00A60F1B"/>
    <w:rsid w:val="00A621BA"/>
    <w:rsid w:val="00A66893"/>
    <w:rsid w:val="00A829F2"/>
    <w:rsid w:val="00AE2441"/>
    <w:rsid w:val="00B26C63"/>
    <w:rsid w:val="00B43B90"/>
    <w:rsid w:val="00B6061B"/>
    <w:rsid w:val="00B71CB2"/>
    <w:rsid w:val="00B73C93"/>
    <w:rsid w:val="00B74F5C"/>
    <w:rsid w:val="00B83C1B"/>
    <w:rsid w:val="00B858AE"/>
    <w:rsid w:val="00B87F9E"/>
    <w:rsid w:val="00BB6012"/>
    <w:rsid w:val="00BB6EB1"/>
    <w:rsid w:val="00BC68E8"/>
    <w:rsid w:val="00C13C92"/>
    <w:rsid w:val="00C21805"/>
    <w:rsid w:val="00C47D83"/>
    <w:rsid w:val="00C553F8"/>
    <w:rsid w:val="00C83458"/>
    <w:rsid w:val="00C83973"/>
    <w:rsid w:val="00C875D0"/>
    <w:rsid w:val="00CB5D63"/>
    <w:rsid w:val="00CC3C41"/>
    <w:rsid w:val="00CF7AD3"/>
    <w:rsid w:val="00D0075B"/>
    <w:rsid w:val="00D13F0D"/>
    <w:rsid w:val="00D17558"/>
    <w:rsid w:val="00D17EB6"/>
    <w:rsid w:val="00D22D36"/>
    <w:rsid w:val="00D50092"/>
    <w:rsid w:val="00D538ED"/>
    <w:rsid w:val="00D673F1"/>
    <w:rsid w:val="00D7374E"/>
    <w:rsid w:val="00D8766B"/>
    <w:rsid w:val="00DB3E09"/>
    <w:rsid w:val="00DF0511"/>
    <w:rsid w:val="00E034C8"/>
    <w:rsid w:val="00E23445"/>
    <w:rsid w:val="00E26F95"/>
    <w:rsid w:val="00E74EF5"/>
    <w:rsid w:val="00E7622E"/>
    <w:rsid w:val="00E92FA8"/>
    <w:rsid w:val="00E977A4"/>
    <w:rsid w:val="00EA7FD1"/>
    <w:rsid w:val="00EB1966"/>
    <w:rsid w:val="00EB71A8"/>
    <w:rsid w:val="00F0359C"/>
    <w:rsid w:val="00F263EA"/>
    <w:rsid w:val="00F27694"/>
    <w:rsid w:val="00F42A19"/>
    <w:rsid w:val="00F72E6E"/>
    <w:rsid w:val="00F732CC"/>
    <w:rsid w:val="00F756E4"/>
    <w:rsid w:val="00FB3B28"/>
    <w:rsid w:val="00FC67F2"/>
    <w:rsid w:val="00FD4667"/>
    <w:rsid w:val="00FD598D"/>
    <w:rsid w:val="00FE5064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458"/>
    <w:pPr>
      <w:spacing w:line="312" w:lineRule="auto"/>
    </w:pPr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3458"/>
    <w:pPr>
      <w:keepNext/>
      <w:spacing w:before="240" w:after="6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3458"/>
    <w:pPr>
      <w:keepNext/>
      <w:spacing w:before="240" w:after="60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C83458"/>
    <w:pPr>
      <w:keepNext/>
      <w:spacing w:before="240" w:after="60"/>
      <w:outlineLvl w:val="2"/>
    </w:pPr>
    <w:rPr>
      <w:b/>
      <w:bCs/>
      <w:caps/>
      <w:sz w:val="24"/>
    </w:rPr>
  </w:style>
  <w:style w:type="paragraph" w:styleId="Heading4">
    <w:name w:val="heading 4"/>
    <w:basedOn w:val="Normal"/>
    <w:next w:val="Normal"/>
    <w:qFormat/>
    <w:rsid w:val="004D706B"/>
    <w:pPr>
      <w:keepNext/>
      <w:outlineLvl w:val="3"/>
    </w:pPr>
    <w:rPr>
      <w:rFonts w:eastAsia="Times"/>
      <w:b/>
      <w:caps/>
      <w:szCs w:val="20"/>
    </w:rPr>
  </w:style>
  <w:style w:type="paragraph" w:styleId="Heading5">
    <w:name w:val="heading 5"/>
    <w:basedOn w:val="Normal"/>
    <w:next w:val="Normal"/>
    <w:qFormat/>
    <w:rsid w:val="004D706B"/>
    <w:pPr>
      <w:keepNext/>
      <w:outlineLvl w:val="4"/>
    </w:pPr>
    <w:rPr>
      <w:b/>
      <w:caps/>
      <w:szCs w:val="20"/>
    </w:rPr>
  </w:style>
  <w:style w:type="paragraph" w:styleId="Heading6">
    <w:name w:val="heading 6"/>
    <w:basedOn w:val="Normal"/>
    <w:next w:val="Normal"/>
    <w:qFormat/>
    <w:rsid w:val="004D706B"/>
    <w:pPr>
      <w:keepNext/>
      <w:outlineLvl w:val="5"/>
    </w:pPr>
    <w:rPr>
      <w:rFonts w:eastAsia="Times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rsid w:val="007C0A4C"/>
    <w:pPr>
      <w:spacing w:line="240" w:lineRule="auto"/>
    </w:pPr>
  </w:style>
  <w:style w:type="paragraph" w:styleId="BlockText">
    <w:name w:val="Block Text"/>
    <w:basedOn w:val="Normal"/>
    <w:rsid w:val="00C83458"/>
    <w:pPr>
      <w:spacing w:after="120"/>
      <w:ind w:left="1440" w:right="1440"/>
    </w:pPr>
  </w:style>
  <w:style w:type="paragraph" w:styleId="BodyText">
    <w:name w:val="Body Text"/>
    <w:basedOn w:val="Normal"/>
    <w:rsid w:val="00C83458"/>
    <w:pPr>
      <w:spacing w:after="120"/>
      <w:jc w:val="both"/>
    </w:pPr>
  </w:style>
  <w:style w:type="paragraph" w:styleId="Footer">
    <w:name w:val="footer"/>
    <w:basedOn w:val="Normal"/>
    <w:link w:val="FooterChar"/>
    <w:rsid w:val="00C83458"/>
    <w:pPr>
      <w:tabs>
        <w:tab w:val="center" w:pos="4153"/>
        <w:tab w:val="right" w:pos="8306"/>
      </w:tabs>
    </w:pPr>
    <w:rPr>
      <w:color w:val="808285"/>
      <w:sz w:val="16"/>
      <w:szCs w:val="16"/>
    </w:rPr>
  </w:style>
  <w:style w:type="character" w:customStyle="1" w:styleId="FooterChar">
    <w:name w:val="Footer Char"/>
    <w:link w:val="Footer"/>
    <w:rsid w:val="00C83458"/>
    <w:rPr>
      <w:rFonts w:ascii="Arial" w:hAnsi="Arial" w:cs="Arial"/>
      <w:color w:val="808285"/>
      <w:sz w:val="16"/>
      <w:szCs w:val="16"/>
      <w:lang w:val="en-GB" w:eastAsia="en-US" w:bidi="ar-SA"/>
    </w:rPr>
  </w:style>
  <w:style w:type="paragraph" w:styleId="Header">
    <w:name w:val="header"/>
    <w:basedOn w:val="Normal"/>
    <w:rsid w:val="00C83458"/>
    <w:pPr>
      <w:tabs>
        <w:tab w:val="center" w:pos="4153"/>
        <w:tab w:val="right" w:pos="8306"/>
      </w:tabs>
    </w:pPr>
    <w:rPr>
      <w:color w:val="002D6A"/>
      <w:sz w:val="16"/>
      <w:szCs w:val="16"/>
    </w:rPr>
  </w:style>
  <w:style w:type="character" w:styleId="Hyperlink">
    <w:name w:val="Hyperlink"/>
    <w:rsid w:val="00C83458"/>
    <w:rPr>
      <w:color w:val="0000FF"/>
      <w:u w:val="single"/>
    </w:rPr>
  </w:style>
  <w:style w:type="table" w:styleId="TableGrid">
    <w:name w:val="Table Grid"/>
    <w:basedOn w:val="TableNormal"/>
    <w:rsid w:val="00C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C83458"/>
    <w:pPr>
      <w:spacing w:before="120" w:after="60"/>
    </w:pPr>
    <w:rPr>
      <w:b/>
      <w:sz w:val="26"/>
    </w:rPr>
  </w:style>
  <w:style w:type="paragraph" w:styleId="TOC2">
    <w:name w:val="toc 2"/>
    <w:basedOn w:val="Normal"/>
    <w:next w:val="Normal"/>
    <w:autoRedefine/>
    <w:semiHidden/>
    <w:rsid w:val="00C83458"/>
    <w:pPr>
      <w:spacing w:after="60"/>
      <w:ind w:left="567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C83458"/>
    <w:pPr>
      <w:spacing w:after="60"/>
      <w:ind w:left="1134"/>
    </w:pPr>
  </w:style>
  <w:style w:type="paragraph" w:customStyle="1" w:styleId="ICAHeading2">
    <w:name w:val="ICA Heading 2"/>
    <w:basedOn w:val="Normal"/>
    <w:rsid w:val="00F732CC"/>
    <w:pPr>
      <w:keepNext/>
      <w:spacing w:before="180" w:after="60" w:line="240" w:lineRule="auto"/>
      <w:jc w:val="center"/>
      <w:outlineLvl w:val="1"/>
    </w:pPr>
    <w:rPr>
      <w:b/>
      <w:color w:val="666699"/>
      <w:sz w:val="22"/>
      <w:u w:val="single"/>
      <w:lang w:val="en-ZA"/>
    </w:rPr>
  </w:style>
  <w:style w:type="paragraph" w:customStyle="1" w:styleId="ICAHeading3">
    <w:name w:val="ICA Heading 3"/>
    <w:basedOn w:val="Normal"/>
    <w:rsid w:val="00F732CC"/>
    <w:pPr>
      <w:keepNext/>
      <w:spacing w:before="180" w:after="60" w:line="240" w:lineRule="auto"/>
      <w:outlineLvl w:val="2"/>
    </w:pPr>
    <w:rPr>
      <w:b/>
      <w:i/>
      <w:color w:val="666699"/>
      <w:lang w:val="en-ZA"/>
    </w:rPr>
  </w:style>
  <w:style w:type="paragraph" w:customStyle="1" w:styleId="ICATableCaption">
    <w:name w:val="ICA Table Caption"/>
    <w:basedOn w:val="Normal"/>
    <w:rsid w:val="00F732CC"/>
    <w:rPr>
      <w:i/>
      <w:color w:val="666699"/>
      <w:sz w:val="18"/>
      <w:lang w:val="en-ZA"/>
    </w:rPr>
  </w:style>
  <w:style w:type="paragraph" w:customStyle="1" w:styleId="ICATableText">
    <w:name w:val="ICA Table Text"/>
    <w:basedOn w:val="Normal"/>
    <w:rsid w:val="00F732CC"/>
    <w:rPr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F732CC"/>
    <w:rPr>
      <w:color w:val="666699"/>
      <w:sz w:val="18"/>
      <w:lang w:val="en-ZA"/>
    </w:rPr>
  </w:style>
  <w:style w:type="paragraph" w:customStyle="1" w:styleId="ltpageheader">
    <w:name w:val="ltpageheader"/>
    <w:basedOn w:val="Normal"/>
    <w:rsid w:val="00B858AE"/>
    <w:pPr>
      <w:spacing w:before="100" w:beforeAutospacing="1" w:after="100" w:afterAutospacing="1" w:line="240" w:lineRule="auto"/>
    </w:pPr>
    <w:rPr>
      <w:color w:val="003366"/>
      <w:sz w:val="28"/>
      <w:szCs w:val="28"/>
      <w:lang w:eastAsia="en-GB"/>
    </w:rPr>
  </w:style>
  <w:style w:type="paragraph" w:customStyle="1" w:styleId="vsmlfont">
    <w:name w:val="vsmlfont"/>
    <w:basedOn w:val="Normal"/>
    <w:rsid w:val="00B858AE"/>
    <w:pPr>
      <w:spacing w:before="100" w:beforeAutospacing="1" w:after="100" w:afterAutospacing="1" w:line="240" w:lineRule="auto"/>
    </w:pPr>
    <w:rPr>
      <w:rFonts w:ascii="Verdana" w:hAnsi="Verdana" w:cs="Times New Roman"/>
      <w:color w:val="003366"/>
      <w:sz w:val="16"/>
      <w:szCs w:val="16"/>
      <w:lang w:eastAsia="en-GB"/>
    </w:rPr>
  </w:style>
  <w:style w:type="paragraph" w:customStyle="1" w:styleId="Footer1">
    <w:name w:val="Footer1"/>
    <w:basedOn w:val="Normal"/>
    <w:rsid w:val="00B858AE"/>
    <w:pPr>
      <w:spacing w:before="100" w:beforeAutospacing="1" w:after="100" w:afterAutospacing="1" w:line="240" w:lineRule="auto"/>
    </w:pPr>
    <w:rPr>
      <w:rFonts w:ascii="Verdana" w:hAnsi="Verdana" w:cs="Times New Roman"/>
      <w:color w:val="666666"/>
      <w:sz w:val="16"/>
      <w:szCs w:val="16"/>
      <w:lang w:eastAsia="en-GB"/>
    </w:rPr>
  </w:style>
  <w:style w:type="character" w:customStyle="1" w:styleId="search1">
    <w:name w:val="search1"/>
    <w:rsid w:val="00B858AE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58AE"/>
    <w:pPr>
      <w:spacing w:before="100" w:beforeAutospacing="1" w:after="100" w:afterAutospacing="1" w:line="240" w:lineRule="auto"/>
    </w:pPr>
    <w:rPr>
      <w:rFonts w:ascii="Verdana" w:hAnsi="Verdana" w:cs="Times New Roman"/>
      <w:color w:val="003366"/>
      <w:szCs w:val="20"/>
      <w:lang w:eastAsia="en-GB"/>
    </w:rPr>
  </w:style>
  <w:style w:type="character" w:styleId="FollowedHyperlink">
    <w:name w:val="FollowedHyperlink"/>
    <w:rsid w:val="00D7374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FD598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D598D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ICAParagraphTextChar">
    <w:name w:val="ICA Paragraph Text Char"/>
    <w:link w:val="ICAParagraphText"/>
    <w:rsid w:val="002C3E67"/>
    <w:rPr>
      <w:rFonts w:ascii="Arial" w:hAnsi="Arial" w:cs="Arial"/>
      <w:color w:val="666699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692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83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458"/>
    <w:pPr>
      <w:spacing w:line="312" w:lineRule="auto"/>
    </w:pPr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3458"/>
    <w:pPr>
      <w:keepNext/>
      <w:spacing w:before="240" w:after="6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3458"/>
    <w:pPr>
      <w:keepNext/>
      <w:spacing w:before="240" w:after="60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C83458"/>
    <w:pPr>
      <w:keepNext/>
      <w:spacing w:before="240" w:after="60"/>
      <w:outlineLvl w:val="2"/>
    </w:pPr>
    <w:rPr>
      <w:b/>
      <w:bCs/>
      <w:caps/>
      <w:sz w:val="24"/>
    </w:rPr>
  </w:style>
  <w:style w:type="paragraph" w:styleId="Heading4">
    <w:name w:val="heading 4"/>
    <w:basedOn w:val="Normal"/>
    <w:next w:val="Normal"/>
    <w:qFormat/>
    <w:rsid w:val="004D706B"/>
    <w:pPr>
      <w:keepNext/>
      <w:outlineLvl w:val="3"/>
    </w:pPr>
    <w:rPr>
      <w:rFonts w:eastAsia="Times"/>
      <w:b/>
      <w:caps/>
      <w:szCs w:val="20"/>
    </w:rPr>
  </w:style>
  <w:style w:type="paragraph" w:styleId="Heading5">
    <w:name w:val="heading 5"/>
    <w:basedOn w:val="Normal"/>
    <w:next w:val="Normal"/>
    <w:qFormat/>
    <w:rsid w:val="004D706B"/>
    <w:pPr>
      <w:keepNext/>
      <w:outlineLvl w:val="4"/>
    </w:pPr>
    <w:rPr>
      <w:b/>
      <w:caps/>
      <w:szCs w:val="20"/>
    </w:rPr>
  </w:style>
  <w:style w:type="paragraph" w:styleId="Heading6">
    <w:name w:val="heading 6"/>
    <w:basedOn w:val="Normal"/>
    <w:next w:val="Normal"/>
    <w:qFormat/>
    <w:rsid w:val="004D706B"/>
    <w:pPr>
      <w:keepNext/>
      <w:outlineLvl w:val="5"/>
    </w:pPr>
    <w:rPr>
      <w:rFonts w:eastAsia="Times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rsid w:val="007C0A4C"/>
    <w:pPr>
      <w:spacing w:line="240" w:lineRule="auto"/>
    </w:pPr>
  </w:style>
  <w:style w:type="paragraph" w:styleId="BlockText">
    <w:name w:val="Block Text"/>
    <w:basedOn w:val="Normal"/>
    <w:rsid w:val="00C83458"/>
    <w:pPr>
      <w:spacing w:after="120"/>
      <w:ind w:left="1440" w:right="1440"/>
    </w:pPr>
  </w:style>
  <w:style w:type="paragraph" w:styleId="BodyText">
    <w:name w:val="Body Text"/>
    <w:basedOn w:val="Normal"/>
    <w:rsid w:val="00C83458"/>
    <w:pPr>
      <w:spacing w:after="120"/>
      <w:jc w:val="both"/>
    </w:pPr>
  </w:style>
  <w:style w:type="paragraph" w:styleId="Footer">
    <w:name w:val="footer"/>
    <w:basedOn w:val="Normal"/>
    <w:link w:val="FooterChar"/>
    <w:rsid w:val="00C83458"/>
    <w:pPr>
      <w:tabs>
        <w:tab w:val="center" w:pos="4153"/>
        <w:tab w:val="right" w:pos="8306"/>
      </w:tabs>
    </w:pPr>
    <w:rPr>
      <w:color w:val="808285"/>
      <w:sz w:val="16"/>
      <w:szCs w:val="16"/>
    </w:rPr>
  </w:style>
  <w:style w:type="character" w:customStyle="1" w:styleId="FooterChar">
    <w:name w:val="Footer Char"/>
    <w:link w:val="Footer"/>
    <w:rsid w:val="00C83458"/>
    <w:rPr>
      <w:rFonts w:ascii="Arial" w:hAnsi="Arial" w:cs="Arial"/>
      <w:color w:val="808285"/>
      <w:sz w:val="16"/>
      <w:szCs w:val="16"/>
      <w:lang w:val="en-GB" w:eastAsia="en-US" w:bidi="ar-SA"/>
    </w:rPr>
  </w:style>
  <w:style w:type="paragraph" w:styleId="Header">
    <w:name w:val="header"/>
    <w:basedOn w:val="Normal"/>
    <w:rsid w:val="00C83458"/>
    <w:pPr>
      <w:tabs>
        <w:tab w:val="center" w:pos="4153"/>
        <w:tab w:val="right" w:pos="8306"/>
      </w:tabs>
    </w:pPr>
    <w:rPr>
      <w:color w:val="002D6A"/>
      <w:sz w:val="16"/>
      <w:szCs w:val="16"/>
    </w:rPr>
  </w:style>
  <w:style w:type="character" w:styleId="Hyperlink">
    <w:name w:val="Hyperlink"/>
    <w:rsid w:val="00C83458"/>
    <w:rPr>
      <w:color w:val="0000FF"/>
      <w:u w:val="single"/>
    </w:rPr>
  </w:style>
  <w:style w:type="table" w:styleId="TableGrid">
    <w:name w:val="Table Grid"/>
    <w:basedOn w:val="TableNormal"/>
    <w:rsid w:val="00C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C83458"/>
    <w:pPr>
      <w:spacing w:before="120" w:after="60"/>
    </w:pPr>
    <w:rPr>
      <w:b/>
      <w:sz w:val="26"/>
    </w:rPr>
  </w:style>
  <w:style w:type="paragraph" w:styleId="TOC2">
    <w:name w:val="toc 2"/>
    <w:basedOn w:val="Normal"/>
    <w:next w:val="Normal"/>
    <w:autoRedefine/>
    <w:semiHidden/>
    <w:rsid w:val="00C83458"/>
    <w:pPr>
      <w:spacing w:after="60"/>
      <w:ind w:left="567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C83458"/>
    <w:pPr>
      <w:spacing w:after="60"/>
      <w:ind w:left="1134"/>
    </w:pPr>
  </w:style>
  <w:style w:type="paragraph" w:customStyle="1" w:styleId="ICAHeading2">
    <w:name w:val="ICA Heading 2"/>
    <w:basedOn w:val="Normal"/>
    <w:rsid w:val="00F732CC"/>
    <w:pPr>
      <w:keepNext/>
      <w:spacing w:before="180" w:after="60" w:line="240" w:lineRule="auto"/>
      <w:jc w:val="center"/>
      <w:outlineLvl w:val="1"/>
    </w:pPr>
    <w:rPr>
      <w:b/>
      <w:color w:val="666699"/>
      <w:sz w:val="22"/>
      <w:u w:val="single"/>
      <w:lang w:val="en-ZA"/>
    </w:rPr>
  </w:style>
  <w:style w:type="paragraph" w:customStyle="1" w:styleId="ICAHeading3">
    <w:name w:val="ICA Heading 3"/>
    <w:basedOn w:val="Normal"/>
    <w:rsid w:val="00F732CC"/>
    <w:pPr>
      <w:keepNext/>
      <w:spacing w:before="180" w:after="60" w:line="240" w:lineRule="auto"/>
      <w:outlineLvl w:val="2"/>
    </w:pPr>
    <w:rPr>
      <w:b/>
      <w:i/>
      <w:color w:val="666699"/>
      <w:lang w:val="en-ZA"/>
    </w:rPr>
  </w:style>
  <w:style w:type="paragraph" w:customStyle="1" w:styleId="ICATableCaption">
    <w:name w:val="ICA Table Caption"/>
    <w:basedOn w:val="Normal"/>
    <w:rsid w:val="00F732CC"/>
    <w:rPr>
      <w:i/>
      <w:color w:val="666699"/>
      <w:sz w:val="18"/>
      <w:lang w:val="en-ZA"/>
    </w:rPr>
  </w:style>
  <w:style w:type="paragraph" w:customStyle="1" w:styleId="ICATableText">
    <w:name w:val="ICA Table Text"/>
    <w:basedOn w:val="Normal"/>
    <w:rsid w:val="00F732CC"/>
    <w:rPr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F732CC"/>
    <w:rPr>
      <w:color w:val="666699"/>
      <w:sz w:val="18"/>
      <w:lang w:val="en-ZA"/>
    </w:rPr>
  </w:style>
  <w:style w:type="paragraph" w:customStyle="1" w:styleId="ltpageheader">
    <w:name w:val="ltpageheader"/>
    <w:basedOn w:val="Normal"/>
    <w:rsid w:val="00B858AE"/>
    <w:pPr>
      <w:spacing w:before="100" w:beforeAutospacing="1" w:after="100" w:afterAutospacing="1" w:line="240" w:lineRule="auto"/>
    </w:pPr>
    <w:rPr>
      <w:color w:val="003366"/>
      <w:sz w:val="28"/>
      <w:szCs w:val="28"/>
      <w:lang w:eastAsia="en-GB"/>
    </w:rPr>
  </w:style>
  <w:style w:type="paragraph" w:customStyle="1" w:styleId="vsmlfont">
    <w:name w:val="vsmlfont"/>
    <w:basedOn w:val="Normal"/>
    <w:rsid w:val="00B858AE"/>
    <w:pPr>
      <w:spacing w:before="100" w:beforeAutospacing="1" w:after="100" w:afterAutospacing="1" w:line="240" w:lineRule="auto"/>
    </w:pPr>
    <w:rPr>
      <w:rFonts w:ascii="Verdana" w:hAnsi="Verdana" w:cs="Times New Roman"/>
      <w:color w:val="003366"/>
      <w:sz w:val="16"/>
      <w:szCs w:val="16"/>
      <w:lang w:eastAsia="en-GB"/>
    </w:rPr>
  </w:style>
  <w:style w:type="paragraph" w:customStyle="1" w:styleId="Footer1">
    <w:name w:val="Footer1"/>
    <w:basedOn w:val="Normal"/>
    <w:rsid w:val="00B858AE"/>
    <w:pPr>
      <w:spacing w:before="100" w:beforeAutospacing="1" w:after="100" w:afterAutospacing="1" w:line="240" w:lineRule="auto"/>
    </w:pPr>
    <w:rPr>
      <w:rFonts w:ascii="Verdana" w:hAnsi="Verdana" w:cs="Times New Roman"/>
      <w:color w:val="666666"/>
      <w:sz w:val="16"/>
      <w:szCs w:val="16"/>
      <w:lang w:eastAsia="en-GB"/>
    </w:rPr>
  </w:style>
  <w:style w:type="character" w:customStyle="1" w:styleId="search1">
    <w:name w:val="search1"/>
    <w:rsid w:val="00B858AE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858AE"/>
    <w:pPr>
      <w:spacing w:before="100" w:beforeAutospacing="1" w:after="100" w:afterAutospacing="1" w:line="240" w:lineRule="auto"/>
    </w:pPr>
    <w:rPr>
      <w:rFonts w:ascii="Verdana" w:hAnsi="Verdana" w:cs="Times New Roman"/>
      <w:color w:val="003366"/>
      <w:szCs w:val="20"/>
      <w:lang w:eastAsia="en-GB"/>
    </w:rPr>
  </w:style>
  <w:style w:type="character" w:styleId="FollowedHyperlink">
    <w:name w:val="FollowedHyperlink"/>
    <w:rsid w:val="00D7374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FD598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D598D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customStyle="1" w:styleId="ICAParagraphTextChar">
    <w:name w:val="ICA Paragraph Text Char"/>
    <w:link w:val="ICAParagraphText"/>
    <w:rsid w:val="002C3E67"/>
    <w:rPr>
      <w:rFonts w:ascii="Arial" w:hAnsi="Arial" w:cs="Arial"/>
      <w:color w:val="666699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692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83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tse.com/printable/terms_and_conditions.jsp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11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Socially Responsible Investment (SRI) Index</TermName>
          <TermId xmlns="http://schemas.microsoft.com/office/infopath/2007/PartnerControls">29ffe9ba-e2ef-43e4-acad-ff5eb1ba9a73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2014-12-22T11:00:00+00:00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7611ECD-34E2-491A-9EFE-545617A99BFA}"/>
</file>

<file path=customXml/itemProps2.xml><?xml version="1.0" encoding="utf-8"?>
<ds:datastoreItem xmlns:ds="http://schemas.openxmlformats.org/officeDocument/2006/customXml" ds:itemID="{907BDBF4-EAFA-4C54-8C67-FF59E49EB638}"/>
</file>

<file path=customXml/itemProps3.xml><?xml version="1.0" encoding="utf-8"?>
<ds:datastoreItem xmlns:ds="http://schemas.openxmlformats.org/officeDocument/2006/customXml" ds:itemID="{8D127E5E-CB0D-4FCD-B920-7305E3DA0BA8}"/>
</file>

<file path=customXml/itemProps4.xml><?xml version="1.0" encoding="utf-8"?>
<ds:datastoreItem xmlns:ds="http://schemas.openxmlformats.org/officeDocument/2006/customXml" ds:itemID="{4A4AF895-2930-44D3-B4B2-E56C78B3A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20140623 SRI Changes Due to FTSEJSE June Review</vt:lpstr>
    </vt:vector>
  </TitlesOfParts>
  <Company>JSE</Company>
  <LinksUpToDate>false</LinksUpToDate>
  <CharactersWithSpaces>7568</CharactersWithSpaces>
  <SharedDoc>false</SharedDoc>
  <HLinks>
    <vt:vector size="6" baseType="variant"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http://www.ftse.com/printable/terms_and_conditions.jsp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20141222 UPDATED SRI Changes Due to FTSEJSE December Review</dc:title>
  <dc:creator>JSE</dc:creator>
  <cp:lastModifiedBy>User</cp:lastModifiedBy>
  <cp:revision>3</cp:revision>
  <cp:lastPrinted>2014-05-28T11:45:00Z</cp:lastPrinted>
  <dcterms:created xsi:type="dcterms:W3CDTF">2014-12-04T11:07:00Z</dcterms:created>
  <dcterms:modified xsi:type="dcterms:W3CDTF">2014-12-04T11:08:00Z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32;#Socially Responsible Investment (SRI) Index|faffe864-8e15-41cd-a429-5e1ca0e5ce57</vt:lpwstr>
  </property>
  <property fmtid="{D5CDD505-2E9C-101B-9397-08002B2CF9AE}" pid="4" name="JSE Navigation">
    <vt:lpwstr>11;#Socially Responsible Investment (SRI) Index|29ffe9ba-e2ef-43e4-acad-ff5eb1ba9a73</vt:lpwstr>
  </property>
</Properties>
</file>